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207" w:type="dxa"/>
        <w:tblInd w:w="-431" w:type="dxa"/>
        <w:tblLayout w:type="fixed"/>
        <w:tblLook w:val="04A0" w:firstRow="1" w:lastRow="0" w:firstColumn="1" w:lastColumn="0" w:noHBand="0" w:noVBand="1"/>
      </w:tblPr>
      <w:tblGrid>
        <w:gridCol w:w="3403"/>
        <w:gridCol w:w="1701"/>
        <w:gridCol w:w="3119"/>
        <w:gridCol w:w="1984"/>
      </w:tblGrid>
      <w:tr w:rsidR="00330C2C" w:rsidTr="000A25FD">
        <w:tc>
          <w:tcPr>
            <w:tcW w:w="10207" w:type="dxa"/>
            <w:gridSpan w:val="4"/>
          </w:tcPr>
          <w:p w:rsidR="00330C2C" w:rsidRPr="00926802" w:rsidRDefault="00330C2C" w:rsidP="000C277C">
            <w:pPr>
              <w:jc w:val="center"/>
              <w:rPr>
                <w:b/>
              </w:rPr>
            </w:pPr>
            <w:r>
              <w:rPr>
                <w:b/>
                <w:sz w:val="36"/>
              </w:rPr>
              <w:t xml:space="preserve">ASD </w:t>
            </w:r>
            <w:r w:rsidRPr="00926802">
              <w:rPr>
                <w:b/>
                <w:sz w:val="36"/>
              </w:rPr>
              <w:t>Resources</w:t>
            </w:r>
          </w:p>
        </w:tc>
      </w:tr>
      <w:tr w:rsidR="00330C2C" w:rsidTr="000A25FD">
        <w:tc>
          <w:tcPr>
            <w:tcW w:w="3403" w:type="dxa"/>
          </w:tcPr>
          <w:p w:rsidR="00330C2C" w:rsidRPr="00926802" w:rsidRDefault="00330C2C" w:rsidP="000C277C">
            <w:pPr>
              <w:jc w:val="center"/>
              <w:rPr>
                <w:b/>
                <w:sz w:val="24"/>
                <w:szCs w:val="24"/>
              </w:rPr>
            </w:pPr>
            <w:r w:rsidRPr="00926802">
              <w:rPr>
                <w:b/>
                <w:sz w:val="24"/>
                <w:szCs w:val="24"/>
              </w:rPr>
              <w:t>Website or link</w:t>
            </w:r>
          </w:p>
        </w:tc>
        <w:tc>
          <w:tcPr>
            <w:tcW w:w="1701" w:type="dxa"/>
          </w:tcPr>
          <w:p w:rsidR="00330C2C" w:rsidRPr="00926802" w:rsidRDefault="00330C2C" w:rsidP="000C277C">
            <w:pPr>
              <w:jc w:val="center"/>
              <w:rPr>
                <w:b/>
                <w:sz w:val="24"/>
                <w:szCs w:val="24"/>
              </w:rPr>
            </w:pPr>
            <w:r w:rsidRPr="00926802">
              <w:rPr>
                <w:b/>
                <w:sz w:val="24"/>
                <w:szCs w:val="24"/>
              </w:rPr>
              <w:t>Curriculum Area</w:t>
            </w:r>
          </w:p>
        </w:tc>
        <w:tc>
          <w:tcPr>
            <w:tcW w:w="3119" w:type="dxa"/>
          </w:tcPr>
          <w:p w:rsidR="00330C2C" w:rsidRPr="00926802" w:rsidRDefault="00330C2C" w:rsidP="000C277C">
            <w:pPr>
              <w:jc w:val="center"/>
              <w:rPr>
                <w:b/>
                <w:sz w:val="24"/>
                <w:szCs w:val="24"/>
              </w:rPr>
            </w:pPr>
            <w:r w:rsidRPr="00926802">
              <w:rPr>
                <w:b/>
                <w:sz w:val="24"/>
                <w:szCs w:val="24"/>
              </w:rPr>
              <w:t>Brief Description</w:t>
            </w:r>
          </w:p>
        </w:tc>
        <w:tc>
          <w:tcPr>
            <w:tcW w:w="1984" w:type="dxa"/>
          </w:tcPr>
          <w:p w:rsidR="00330C2C" w:rsidRPr="00926802" w:rsidRDefault="00330C2C" w:rsidP="000C277C">
            <w:pPr>
              <w:jc w:val="center"/>
              <w:rPr>
                <w:b/>
                <w:sz w:val="24"/>
                <w:szCs w:val="24"/>
              </w:rPr>
            </w:pPr>
            <w:r w:rsidRPr="00926802">
              <w:rPr>
                <w:b/>
                <w:sz w:val="24"/>
                <w:szCs w:val="24"/>
              </w:rPr>
              <w:t>Suitable for</w:t>
            </w:r>
          </w:p>
        </w:tc>
      </w:tr>
      <w:tr w:rsidR="00330C2C" w:rsidTr="000A25FD">
        <w:tc>
          <w:tcPr>
            <w:tcW w:w="3403" w:type="dxa"/>
          </w:tcPr>
          <w:p w:rsidR="00A13B27" w:rsidRDefault="00120B42" w:rsidP="00A13B27">
            <w:pPr>
              <w:rPr>
                <w:rFonts w:ascii="Calibri" w:eastAsia="Times New Roman" w:hAnsi="Calibri" w:cs="Calibri"/>
                <w:color w:val="000000"/>
              </w:rPr>
            </w:pPr>
            <w:hyperlink r:id="rId4" w:history="1">
              <w:r w:rsidR="00A13B27">
                <w:rPr>
                  <w:rStyle w:val="Hyperlink"/>
                  <w:rFonts w:ascii="Calibri" w:eastAsia="Times New Roman" w:hAnsi="Calibri" w:cs="Calibri"/>
                </w:rPr>
                <w:t>http://amy-laurent.com</w:t>
              </w:r>
            </w:hyperlink>
          </w:p>
          <w:p w:rsidR="00A13B27" w:rsidRPr="00926802" w:rsidRDefault="00A13B27" w:rsidP="000C277C">
            <w:pPr>
              <w:jc w:val="center"/>
              <w:rPr>
                <w:b/>
                <w:sz w:val="24"/>
                <w:szCs w:val="24"/>
              </w:rPr>
            </w:pPr>
          </w:p>
        </w:tc>
        <w:tc>
          <w:tcPr>
            <w:tcW w:w="1701" w:type="dxa"/>
          </w:tcPr>
          <w:p w:rsidR="00330C2C" w:rsidRPr="00926802" w:rsidRDefault="000C277C" w:rsidP="000C277C">
            <w:pPr>
              <w:jc w:val="center"/>
              <w:rPr>
                <w:b/>
                <w:sz w:val="24"/>
                <w:szCs w:val="24"/>
              </w:rPr>
            </w:pPr>
            <w:r>
              <w:rPr>
                <w:b/>
                <w:sz w:val="24"/>
                <w:szCs w:val="24"/>
              </w:rPr>
              <w:t>PE</w:t>
            </w:r>
            <w:r w:rsidR="00A13B27">
              <w:rPr>
                <w:b/>
                <w:sz w:val="24"/>
                <w:szCs w:val="24"/>
              </w:rPr>
              <w:t>/Mental health</w:t>
            </w:r>
          </w:p>
        </w:tc>
        <w:tc>
          <w:tcPr>
            <w:tcW w:w="3119" w:type="dxa"/>
          </w:tcPr>
          <w:p w:rsidR="00330C2C" w:rsidRPr="0011005D" w:rsidRDefault="00A13B27" w:rsidP="000C277C">
            <w:pPr>
              <w:rPr>
                <w:sz w:val="24"/>
                <w:szCs w:val="24"/>
              </w:rPr>
            </w:pPr>
            <w:r>
              <w:rPr>
                <w:sz w:val="24"/>
                <w:szCs w:val="24"/>
              </w:rPr>
              <w:t>Lots of great ideas on Amy’s website for children and young people with ASD needing physical/sensory breaks as well as a Power Up Schedule of putting breaks into the day.</w:t>
            </w:r>
          </w:p>
        </w:tc>
        <w:tc>
          <w:tcPr>
            <w:tcW w:w="1984" w:type="dxa"/>
          </w:tcPr>
          <w:p w:rsidR="00330C2C" w:rsidRPr="0011005D" w:rsidRDefault="00A13B27" w:rsidP="000C277C">
            <w:pPr>
              <w:jc w:val="center"/>
              <w:rPr>
                <w:sz w:val="24"/>
                <w:szCs w:val="24"/>
              </w:rPr>
            </w:pPr>
            <w:r w:rsidRPr="008214A6">
              <w:rPr>
                <w:b/>
                <w:sz w:val="24"/>
                <w:szCs w:val="24"/>
              </w:rPr>
              <w:t>All ages</w:t>
            </w:r>
            <w:r w:rsidR="000C277C" w:rsidRPr="0011005D">
              <w:rPr>
                <w:sz w:val="24"/>
                <w:szCs w:val="24"/>
              </w:rPr>
              <w:t xml:space="preserve"> </w:t>
            </w:r>
          </w:p>
        </w:tc>
      </w:tr>
      <w:tr w:rsidR="00337D18" w:rsidTr="000A25FD">
        <w:trPr>
          <w:trHeight w:val="689"/>
        </w:trPr>
        <w:tc>
          <w:tcPr>
            <w:tcW w:w="3403" w:type="dxa"/>
          </w:tcPr>
          <w:p w:rsidR="0052046E" w:rsidRDefault="0052046E" w:rsidP="0052046E">
            <w:pPr>
              <w:rPr>
                <w:rFonts w:ascii="Arial" w:hAnsi="Arial" w:cs="Arial"/>
                <w:color w:val="858585"/>
                <w:szCs w:val="17"/>
              </w:rPr>
            </w:pPr>
          </w:p>
          <w:p w:rsidR="00337D18" w:rsidRDefault="00120B42" w:rsidP="0052046E">
            <w:pPr>
              <w:rPr>
                <w:rFonts w:ascii="Arial" w:hAnsi="Arial" w:cs="Arial"/>
                <w:color w:val="858585"/>
                <w:sz w:val="17"/>
                <w:szCs w:val="17"/>
              </w:rPr>
            </w:pPr>
            <w:hyperlink r:id="rId5" w:history="1">
              <w:r w:rsidR="0052046E" w:rsidRPr="0052046E">
                <w:rPr>
                  <w:rStyle w:val="Hyperlink"/>
                  <w:rFonts w:ascii="Arial" w:hAnsi="Arial" w:cs="Arial"/>
                  <w:szCs w:val="17"/>
                </w:rPr>
                <w:t>Speaking Space Alex Kelly</w:t>
              </w:r>
            </w:hyperlink>
          </w:p>
        </w:tc>
        <w:tc>
          <w:tcPr>
            <w:tcW w:w="1701" w:type="dxa"/>
          </w:tcPr>
          <w:p w:rsidR="00337D18" w:rsidRPr="00926802" w:rsidRDefault="000C277C" w:rsidP="000C277C">
            <w:pPr>
              <w:jc w:val="center"/>
              <w:rPr>
                <w:b/>
                <w:sz w:val="24"/>
                <w:szCs w:val="24"/>
              </w:rPr>
            </w:pPr>
            <w:r>
              <w:rPr>
                <w:b/>
                <w:sz w:val="24"/>
                <w:szCs w:val="24"/>
              </w:rPr>
              <w:t>PHSE</w:t>
            </w:r>
          </w:p>
        </w:tc>
        <w:tc>
          <w:tcPr>
            <w:tcW w:w="3119" w:type="dxa"/>
          </w:tcPr>
          <w:p w:rsidR="00337D18" w:rsidRPr="0011005D" w:rsidRDefault="000C277C" w:rsidP="0011005D">
            <w:pPr>
              <w:rPr>
                <w:sz w:val="24"/>
                <w:szCs w:val="24"/>
              </w:rPr>
            </w:pPr>
            <w:r w:rsidRPr="0011005D">
              <w:rPr>
                <w:sz w:val="24"/>
                <w:szCs w:val="24"/>
              </w:rPr>
              <w:t>Th</w:t>
            </w:r>
            <w:r w:rsidR="0011005D" w:rsidRPr="0011005D">
              <w:rPr>
                <w:sz w:val="24"/>
                <w:szCs w:val="24"/>
              </w:rPr>
              <w:t>e first website are</w:t>
            </w:r>
            <w:r w:rsidRPr="0011005D">
              <w:rPr>
                <w:sz w:val="24"/>
                <w:szCs w:val="24"/>
              </w:rPr>
              <w:t xml:space="preserve"> some social stories – some specific to Speaking Space but also more generic ones.</w:t>
            </w:r>
          </w:p>
          <w:p w:rsidR="000C277C" w:rsidRPr="00926802" w:rsidRDefault="000C277C" w:rsidP="0011005D">
            <w:pPr>
              <w:rPr>
                <w:b/>
                <w:sz w:val="24"/>
                <w:szCs w:val="24"/>
              </w:rPr>
            </w:pPr>
            <w:r w:rsidRPr="0011005D">
              <w:rPr>
                <w:sz w:val="24"/>
                <w:szCs w:val="24"/>
              </w:rPr>
              <w:t xml:space="preserve">The second one is Alex Kelly’s </w:t>
            </w:r>
            <w:proofErr w:type="spellStart"/>
            <w:r w:rsidRPr="0011005D">
              <w:rPr>
                <w:sz w:val="24"/>
                <w:szCs w:val="24"/>
              </w:rPr>
              <w:t>youtube</w:t>
            </w:r>
            <w:proofErr w:type="spellEnd"/>
            <w:r w:rsidRPr="0011005D">
              <w:rPr>
                <w:sz w:val="24"/>
                <w:szCs w:val="24"/>
              </w:rPr>
              <w:t xml:space="preserve"> site. The social distancing one is particularly good.</w:t>
            </w:r>
          </w:p>
        </w:tc>
        <w:tc>
          <w:tcPr>
            <w:tcW w:w="1984" w:type="dxa"/>
          </w:tcPr>
          <w:p w:rsidR="00337D18" w:rsidRPr="0011005D" w:rsidRDefault="000C277C" w:rsidP="000C277C">
            <w:pPr>
              <w:rPr>
                <w:sz w:val="24"/>
                <w:szCs w:val="24"/>
              </w:rPr>
            </w:pPr>
            <w:r w:rsidRPr="008214A6">
              <w:rPr>
                <w:b/>
                <w:sz w:val="24"/>
                <w:szCs w:val="24"/>
              </w:rPr>
              <w:t>Key Stage 2 and above but possibly younger depending on the child.</w:t>
            </w:r>
          </w:p>
        </w:tc>
      </w:tr>
      <w:tr w:rsidR="0052046E" w:rsidTr="000A25FD">
        <w:trPr>
          <w:trHeight w:val="689"/>
        </w:trPr>
        <w:tc>
          <w:tcPr>
            <w:tcW w:w="3403" w:type="dxa"/>
          </w:tcPr>
          <w:p w:rsidR="0052046E" w:rsidRDefault="0052046E" w:rsidP="0052046E">
            <w:pPr>
              <w:rPr>
                <w:rFonts w:eastAsia="Times New Roman"/>
              </w:rPr>
            </w:pPr>
          </w:p>
          <w:p w:rsidR="0052046E" w:rsidRDefault="00120B42" w:rsidP="0052046E">
            <w:hyperlink r:id="rId6" w:history="1">
              <w:r w:rsidR="0052046E" w:rsidRPr="0052046E">
                <w:rPr>
                  <w:rStyle w:val="Hyperlink"/>
                </w:rPr>
                <w:t xml:space="preserve">Animated story on </w:t>
              </w:r>
              <w:proofErr w:type="spellStart"/>
              <w:r w:rsidR="0052046E" w:rsidRPr="0052046E">
                <w:rPr>
                  <w:rStyle w:val="Hyperlink"/>
                </w:rPr>
                <w:t>COViD</w:t>
              </w:r>
              <w:proofErr w:type="spellEnd"/>
            </w:hyperlink>
          </w:p>
        </w:tc>
        <w:tc>
          <w:tcPr>
            <w:tcW w:w="1701" w:type="dxa"/>
          </w:tcPr>
          <w:p w:rsidR="0052046E" w:rsidRDefault="0052046E" w:rsidP="000C277C">
            <w:pPr>
              <w:jc w:val="center"/>
              <w:rPr>
                <w:b/>
                <w:sz w:val="24"/>
                <w:szCs w:val="24"/>
              </w:rPr>
            </w:pPr>
            <w:r>
              <w:rPr>
                <w:b/>
                <w:sz w:val="24"/>
                <w:szCs w:val="24"/>
              </w:rPr>
              <w:t>PHSE</w:t>
            </w:r>
          </w:p>
        </w:tc>
        <w:tc>
          <w:tcPr>
            <w:tcW w:w="3119" w:type="dxa"/>
          </w:tcPr>
          <w:p w:rsidR="0052046E" w:rsidRPr="0011005D" w:rsidRDefault="0052046E" w:rsidP="0011005D">
            <w:pPr>
              <w:rPr>
                <w:sz w:val="24"/>
                <w:szCs w:val="24"/>
              </w:rPr>
            </w:pPr>
            <w:r>
              <w:rPr>
                <w:sz w:val="24"/>
                <w:szCs w:val="24"/>
              </w:rPr>
              <w:t>Sweet animated story explaining about the virus and giving reassurance</w:t>
            </w:r>
          </w:p>
        </w:tc>
        <w:tc>
          <w:tcPr>
            <w:tcW w:w="1984" w:type="dxa"/>
          </w:tcPr>
          <w:p w:rsidR="0052046E" w:rsidRPr="008214A6" w:rsidRDefault="0052046E" w:rsidP="000C277C">
            <w:pPr>
              <w:rPr>
                <w:b/>
                <w:sz w:val="24"/>
                <w:szCs w:val="24"/>
              </w:rPr>
            </w:pPr>
            <w:r w:rsidRPr="008214A6">
              <w:rPr>
                <w:b/>
                <w:sz w:val="24"/>
                <w:szCs w:val="24"/>
              </w:rPr>
              <w:t>Early years/ Key stage 1</w:t>
            </w:r>
          </w:p>
        </w:tc>
      </w:tr>
      <w:tr w:rsidR="00E9295C" w:rsidTr="000A25FD">
        <w:trPr>
          <w:trHeight w:val="689"/>
        </w:trPr>
        <w:tc>
          <w:tcPr>
            <w:tcW w:w="3403" w:type="dxa"/>
          </w:tcPr>
          <w:p w:rsidR="00E9295C" w:rsidRDefault="00120B42" w:rsidP="00E9295C">
            <w:hyperlink r:id="rId7" w:history="1">
              <w:r w:rsidR="00E9295C">
                <w:rPr>
                  <w:rStyle w:val="Hyperlink"/>
                </w:rPr>
                <w:t>https://symbolworld.org/</w:t>
              </w:r>
            </w:hyperlink>
          </w:p>
          <w:p w:rsidR="00E9295C" w:rsidRDefault="00E9295C" w:rsidP="00E9295C">
            <w:pPr>
              <w:spacing w:before="150" w:after="150" w:line="360" w:lineRule="auto"/>
              <w:jc w:val="center"/>
              <w:rPr>
                <w:rFonts w:ascii="Helvetica" w:hAnsi="Helvetica" w:cs="Helvetica"/>
                <w:color w:val="202020"/>
                <w:sz w:val="20"/>
                <w:szCs w:val="24"/>
              </w:rPr>
            </w:pPr>
          </w:p>
        </w:tc>
        <w:tc>
          <w:tcPr>
            <w:tcW w:w="1701" w:type="dxa"/>
          </w:tcPr>
          <w:p w:rsidR="00E9295C" w:rsidRDefault="00E9295C" w:rsidP="00E9295C">
            <w:pPr>
              <w:rPr>
                <w:b/>
                <w:color w:val="002060"/>
                <w:sz w:val="24"/>
                <w:szCs w:val="24"/>
              </w:rPr>
            </w:pPr>
            <w:r>
              <w:rPr>
                <w:b/>
                <w:color w:val="002060"/>
                <w:sz w:val="24"/>
                <w:szCs w:val="24"/>
              </w:rPr>
              <w:t>General widget resources for home/school in different curriculum areas</w:t>
            </w:r>
          </w:p>
        </w:tc>
        <w:tc>
          <w:tcPr>
            <w:tcW w:w="3119" w:type="dxa"/>
          </w:tcPr>
          <w:p w:rsidR="00E9295C" w:rsidRDefault="00E9295C" w:rsidP="00E9295C">
            <w:pPr>
              <w:pStyle w:val="NormalWeb"/>
              <w:rPr>
                <w:rFonts w:asciiTheme="minorHAnsi" w:hAnsiTheme="minorHAnsi" w:cstheme="minorBidi"/>
                <w:lang w:eastAsia="en-US"/>
              </w:rPr>
            </w:pPr>
            <w:r>
              <w:rPr>
                <w:rFonts w:asciiTheme="minorHAnsi" w:hAnsiTheme="minorHAnsi" w:cstheme="minorBidi"/>
                <w:lang w:eastAsia="en-US"/>
              </w:rPr>
              <w:t>Lots of visual aids and resources made with Widget ready to use. Many different ones such as visual charts for washing hands or different curriculum subjects and topics e.g. World Places; Time and Place. There is also a Live News link which is all explained using Communication in Print</w:t>
            </w:r>
          </w:p>
        </w:tc>
        <w:tc>
          <w:tcPr>
            <w:tcW w:w="1984" w:type="dxa"/>
          </w:tcPr>
          <w:p w:rsidR="00E9295C" w:rsidRDefault="00E9295C" w:rsidP="008214A6">
            <w:pPr>
              <w:rPr>
                <w:b/>
                <w:sz w:val="24"/>
                <w:szCs w:val="24"/>
              </w:rPr>
            </w:pPr>
            <w:r>
              <w:rPr>
                <w:b/>
                <w:sz w:val="24"/>
                <w:szCs w:val="24"/>
              </w:rPr>
              <w:t>All ages for children and young people who need visual aids</w:t>
            </w:r>
          </w:p>
        </w:tc>
      </w:tr>
      <w:tr w:rsidR="00E9295C" w:rsidTr="000A25FD">
        <w:tc>
          <w:tcPr>
            <w:tcW w:w="3403" w:type="dxa"/>
          </w:tcPr>
          <w:p w:rsidR="00E9295C" w:rsidRDefault="00120B42" w:rsidP="00E9295C">
            <w:pPr>
              <w:spacing w:line="252" w:lineRule="auto"/>
              <w:contextualSpacing/>
            </w:pPr>
            <w:hyperlink r:id="rId8" w:history="1">
              <w:r w:rsidR="00E9295C" w:rsidRPr="00270717">
                <w:rPr>
                  <w:rStyle w:val="Hyperlink"/>
                </w:rPr>
                <w:t>NASEN podcasts for the EYFS</w:t>
              </w:r>
            </w:hyperlink>
          </w:p>
        </w:tc>
        <w:tc>
          <w:tcPr>
            <w:tcW w:w="1701" w:type="dxa"/>
          </w:tcPr>
          <w:p w:rsidR="00E9295C" w:rsidRDefault="00E9295C" w:rsidP="00E9295C">
            <w:pPr>
              <w:rPr>
                <w:b/>
                <w:color w:val="7030A0"/>
                <w:sz w:val="24"/>
                <w:szCs w:val="24"/>
              </w:rPr>
            </w:pPr>
            <w:r w:rsidRPr="00270717">
              <w:rPr>
                <w:b/>
                <w:sz w:val="24"/>
                <w:szCs w:val="24"/>
              </w:rPr>
              <w:t xml:space="preserve">Podcasts in a range of areas to support EYFS </w:t>
            </w:r>
          </w:p>
        </w:tc>
        <w:tc>
          <w:tcPr>
            <w:tcW w:w="3119" w:type="dxa"/>
          </w:tcPr>
          <w:p w:rsidR="00E9295C" w:rsidRPr="00270717" w:rsidRDefault="00E9295C" w:rsidP="00E9295C">
            <w:pPr>
              <w:spacing w:line="252" w:lineRule="auto"/>
              <w:contextualSpacing/>
              <w:jc w:val="center"/>
              <w:rPr>
                <w:sz w:val="24"/>
                <w:szCs w:val="24"/>
              </w:rPr>
            </w:pPr>
            <w:r>
              <w:rPr>
                <w:sz w:val="24"/>
                <w:szCs w:val="24"/>
              </w:rPr>
              <w:t>Lots of different podcasts available for practitioners in areas of mental health, social and emotional development and ASD. Also case studies available. But school or setting need to be a gold or silver member in order to access</w:t>
            </w:r>
          </w:p>
        </w:tc>
        <w:tc>
          <w:tcPr>
            <w:tcW w:w="1984" w:type="dxa"/>
          </w:tcPr>
          <w:p w:rsidR="00E9295C" w:rsidRDefault="00E9295C" w:rsidP="00E9295C">
            <w:pPr>
              <w:rPr>
                <w:b/>
                <w:color w:val="7030A0"/>
                <w:sz w:val="24"/>
                <w:szCs w:val="24"/>
              </w:rPr>
            </w:pPr>
            <w:r w:rsidRPr="00270717">
              <w:rPr>
                <w:b/>
                <w:sz w:val="24"/>
                <w:szCs w:val="24"/>
              </w:rPr>
              <w:t>Early Years</w:t>
            </w:r>
          </w:p>
        </w:tc>
      </w:tr>
      <w:tr w:rsidR="005B571D" w:rsidTr="000A25FD">
        <w:tc>
          <w:tcPr>
            <w:tcW w:w="3403" w:type="dxa"/>
          </w:tcPr>
          <w:p w:rsidR="005B571D" w:rsidRPr="005B571D" w:rsidRDefault="00120B42" w:rsidP="005B571D">
            <w:pPr>
              <w:pStyle w:val="xmsonormal"/>
              <w:shd w:val="clear" w:color="auto" w:fill="FFFFFF"/>
              <w:rPr>
                <w:color w:val="000000"/>
                <w:sz w:val="22"/>
              </w:rPr>
            </w:pPr>
            <w:hyperlink r:id="rId9" w:history="1">
              <w:r w:rsidR="005B571D" w:rsidRPr="005B571D">
                <w:rPr>
                  <w:rStyle w:val="Hyperlink"/>
                  <w:szCs w:val="28"/>
                </w:rPr>
                <w:t>https://carolgraysocialstories.com/carols-club/</w:t>
              </w:r>
            </w:hyperlink>
          </w:p>
          <w:p w:rsidR="005B571D" w:rsidRDefault="005B571D" w:rsidP="00E9295C">
            <w:pPr>
              <w:spacing w:line="252" w:lineRule="auto"/>
              <w:contextualSpacing/>
            </w:pPr>
          </w:p>
        </w:tc>
        <w:tc>
          <w:tcPr>
            <w:tcW w:w="1701" w:type="dxa"/>
          </w:tcPr>
          <w:p w:rsidR="005B571D" w:rsidRPr="00270717" w:rsidRDefault="00A14FBA" w:rsidP="00A14FBA">
            <w:pPr>
              <w:rPr>
                <w:b/>
                <w:sz w:val="24"/>
                <w:szCs w:val="24"/>
              </w:rPr>
            </w:pPr>
            <w:r>
              <w:rPr>
                <w:b/>
                <w:sz w:val="24"/>
                <w:szCs w:val="24"/>
              </w:rPr>
              <w:t>A web based club for ASD</w:t>
            </w:r>
          </w:p>
        </w:tc>
        <w:tc>
          <w:tcPr>
            <w:tcW w:w="3119" w:type="dxa"/>
          </w:tcPr>
          <w:p w:rsidR="005B571D" w:rsidRDefault="00A14FBA" w:rsidP="00120B42">
            <w:pPr>
              <w:spacing w:line="252" w:lineRule="auto"/>
              <w:contextualSpacing/>
              <w:jc w:val="center"/>
              <w:rPr>
                <w:sz w:val="24"/>
                <w:szCs w:val="24"/>
              </w:rPr>
            </w:pPr>
            <w:r>
              <w:rPr>
                <w:sz w:val="24"/>
                <w:szCs w:val="24"/>
              </w:rPr>
              <w:t xml:space="preserve">This is like a kind of web-based ‘club’ which has social stories on a range of topics, workshops, newsletters, articles. Free to join but need </w:t>
            </w:r>
            <w:r>
              <w:rPr>
                <w:sz w:val="24"/>
                <w:szCs w:val="24"/>
              </w:rPr>
              <w:lastRenderedPageBreak/>
              <w:t xml:space="preserve">to register. </w:t>
            </w:r>
          </w:p>
        </w:tc>
        <w:tc>
          <w:tcPr>
            <w:tcW w:w="1984" w:type="dxa"/>
          </w:tcPr>
          <w:p w:rsidR="005B571D" w:rsidRPr="00270717" w:rsidRDefault="00A14FBA" w:rsidP="00E9295C">
            <w:pPr>
              <w:rPr>
                <w:b/>
                <w:sz w:val="24"/>
                <w:szCs w:val="24"/>
              </w:rPr>
            </w:pPr>
            <w:r w:rsidRPr="00A14FBA">
              <w:rPr>
                <w:b/>
                <w:color w:val="FF0000"/>
                <w:sz w:val="24"/>
                <w:szCs w:val="24"/>
              </w:rPr>
              <w:lastRenderedPageBreak/>
              <w:t>All ages for children and young people</w:t>
            </w:r>
          </w:p>
        </w:tc>
      </w:tr>
      <w:tr w:rsidR="000A25FD" w:rsidTr="000A25FD">
        <w:tc>
          <w:tcPr>
            <w:tcW w:w="3403" w:type="dxa"/>
          </w:tcPr>
          <w:p w:rsidR="000A25FD" w:rsidRDefault="00120B42" w:rsidP="007F797F">
            <w:pPr>
              <w:rPr>
                <w:rFonts w:ascii="Arial" w:eastAsia="Times New Roman" w:hAnsi="Arial" w:cs="Arial"/>
              </w:rPr>
            </w:pPr>
            <w:hyperlink r:id="rId10" w:history="1">
              <w:r w:rsidR="000A25FD">
                <w:rPr>
                  <w:rStyle w:val="Hyperlink"/>
                  <w:rFonts w:ascii="Arial" w:eastAsia="Times New Roman" w:hAnsi="Arial" w:cs="Arial"/>
                </w:rPr>
                <w:t>http://eyecanlearn.com/perception/memory/</w:t>
              </w:r>
            </w:hyperlink>
            <w:r w:rsidR="000A25FD">
              <w:rPr>
                <w:rFonts w:ascii="Arial" w:eastAsia="Times New Roman" w:hAnsi="Arial" w:cs="Arial"/>
              </w:rPr>
              <w:t xml:space="preserve"> </w:t>
            </w:r>
          </w:p>
          <w:p w:rsidR="000A25FD" w:rsidRPr="00082F51" w:rsidRDefault="000A25FD" w:rsidP="007F797F">
            <w:pPr>
              <w:rPr>
                <w:sz w:val="20"/>
              </w:rPr>
            </w:pPr>
          </w:p>
        </w:tc>
        <w:tc>
          <w:tcPr>
            <w:tcW w:w="1701" w:type="dxa"/>
          </w:tcPr>
          <w:p w:rsidR="000A25FD" w:rsidRDefault="000A25FD" w:rsidP="007F797F">
            <w:pPr>
              <w:rPr>
                <w:b/>
                <w:color w:val="002060"/>
                <w:sz w:val="24"/>
                <w:szCs w:val="24"/>
              </w:rPr>
            </w:pPr>
            <w:r>
              <w:rPr>
                <w:b/>
                <w:color w:val="002060"/>
                <w:sz w:val="24"/>
                <w:szCs w:val="24"/>
              </w:rPr>
              <w:t>Resources</w:t>
            </w:r>
          </w:p>
        </w:tc>
        <w:tc>
          <w:tcPr>
            <w:tcW w:w="3119" w:type="dxa"/>
          </w:tcPr>
          <w:p w:rsidR="000A25FD" w:rsidRPr="00082F51" w:rsidRDefault="000A25FD" w:rsidP="007F797F">
            <w:pPr>
              <w:rPr>
                <w:sz w:val="24"/>
                <w:szCs w:val="24"/>
              </w:rPr>
            </w:pPr>
            <w:r>
              <w:rPr>
                <w:sz w:val="24"/>
                <w:szCs w:val="24"/>
              </w:rPr>
              <w:t>Free access to lots of fun activities that support visual memory</w:t>
            </w:r>
          </w:p>
        </w:tc>
        <w:tc>
          <w:tcPr>
            <w:tcW w:w="1984" w:type="dxa"/>
          </w:tcPr>
          <w:p w:rsidR="000A25FD" w:rsidRDefault="008214A6" w:rsidP="007F797F">
            <w:pPr>
              <w:rPr>
                <w:b/>
                <w:sz w:val="24"/>
                <w:szCs w:val="24"/>
              </w:rPr>
            </w:pPr>
            <w:r>
              <w:rPr>
                <w:b/>
                <w:sz w:val="24"/>
                <w:szCs w:val="24"/>
              </w:rPr>
              <w:t>All ages</w:t>
            </w:r>
          </w:p>
        </w:tc>
      </w:tr>
      <w:tr w:rsidR="000A25FD" w:rsidTr="000A25FD">
        <w:tc>
          <w:tcPr>
            <w:tcW w:w="3403" w:type="dxa"/>
          </w:tcPr>
          <w:p w:rsidR="000A25FD" w:rsidRDefault="00120B42" w:rsidP="007F797F">
            <w:hyperlink r:id="rId11" w:history="1">
              <w:r w:rsidR="008214A6">
                <w:rPr>
                  <w:rStyle w:val="Hyperlink"/>
                  <w:rFonts w:ascii="Calibri" w:hAnsi="Calibri" w:cs="Calibri"/>
                </w:rPr>
                <w:t>https://ictandinclusion.edublogs.org/2020/03/16/sites-for-learning-at-home-for-send-children-and-young-people/</w:t>
              </w:r>
            </w:hyperlink>
          </w:p>
        </w:tc>
        <w:tc>
          <w:tcPr>
            <w:tcW w:w="1701" w:type="dxa"/>
          </w:tcPr>
          <w:p w:rsidR="000A25FD" w:rsidRDefault="008214A6" w:rsidP="007F797F">
            <w:pPr>
              <w:rPr>
                <w:b/>
                <w:color w:val="002060"/>
                <w:sz w:val="24"/>
                <w:szCs w:val="24"/>
              </w:rPr>
            </w:pPr>
            <w:r>
              <w:rPr>
                <w:b/>
                <w:color w:val="002060"/>
                <w:sz w:val="24"/>
                <w:szCs w:val="24"/>
              </w:rPr>
              <w:t>Resources: list of websites</w:t>
            </w:r>
          </w:p>
        </w:tc>
        <w:tc>
          <w:tcPr>
            <w:tcW w:w="3119" w:type="dxa"/>
          </w:tcPr>
          <w:p w:rsidR="000A25FD" w:rsidRDefault="008214A6" w:rsidP="007F797F">
            <w:pPr>
              <w:rPr>
                <w:sz w:val="24"/>
                <w:szCs w:val="24"/>
              </w:rPr>
            </w:pPr>
            <w:r>
              <w:rPr>
                <w:sz w:val="24"/>
                <w:szCs w:val="24"/>
              </w:rPr>
              <w:t>Fairly comprehensive list of different websites to cover a range of curriculum areas but with a focus on SEND</w:t>
            </w:r>
          </w:p>
        </w:tc>
        <w:tc>
          <w:tcPr>
            <w:tcW w:w="1984" w:type="dxa"/>
          </w:tcPr>
          <w:p w:rsidR="000A25FD" w:rsidRDefault="008214A6" w:rsidP="007F797F">
            <w:pPr>
              <w:rPr>
                <w:b/>
                <w:sz w:val="24"/>
                <w:szCs w:val="24"/>
              </w:rPr>
            </w:pPr>
            <w:r>
              <w:rPr>
                <w:b/>
                <w:sz w:val="24"/>
                <w:szCs w:val="24"/>
              </w:rPr>
              <w:t>All ages</w:t>
            </w:r>
          </w:p>
        </w:tc>
      </w:tr>
    </w:tbl>
    <w:p w:rsidR="00330C2C" w:rsidRDefault="00330C2C" w:rsidP="00330C2C">
      <w:bookmarkStart w:id="0" w:name="_GoBack"/>
      <w:bookmarkEnd w:id="0"/>
    </w:p>
    <w:p w:rsidR="00660D5D" w:rsidRDefault="00660D5D"/>
    <w:sectPr w:rsidR="00660D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0C2C"/>
    <w:rsid w:val="000A25FD"/>
    <w:rsid w:val="000C277C"/>
    <w:rsid w:val="0011005D"/>
    <w:rsid w:val="00120B42"/>
    <w:rsid w:val="001F5A73"/>
    <w:rsid w:val="002020BA"/>
    <w:rsid w:val="00330C2C"/>
    <w:rsid w:val="00337D18"/>
    <w:rsid w:val="0052046E"/>
    <w:rsid w:val="005B571D"/>
    <w:rsid w:val="00660D5D"/>
    <w:rsid w:val="008214A6"/>
    <w:rsid w:val="00A13B27"/>
    <w:rsid w:val="00A14FBA"/>
    <w:rsid w:val="00E9295C"/>
    <w:rsid w:val="00EF3149"/>
    <w:rsid w:val="00F979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EB8FD2-2FB7-4D22-B407-FA4EA726B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0C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0C2C"/>
    <w:rPr>
      <w:color w:val="0000FF"/>
      <w:u w:val="single"/>
    </w:rPr>
  </w:style>
  <w:style w:type="table" w:styleId="TableGrid">
    <w:name w:val="Table Grid"/>
    <w:basedOn w:val="TableNormal"/>
    <w:uiPriority w:val="39"/>
    <w:rsid w:val="00330C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37D18"/>
    <w:pPr>
      <w:spacing w:before="100" w:beforeAutospacing="1" w:after="100" w:afterAutospacing="1" w:line="240" w:lineRule="auto"/>
    </w:pPr>
    <w:rPr>
      <w:rFonts w:ascii="Times New Roman" w:hAnsi="Times New Roman" w:cs="Times New Roman"/>
      <w:sz w:val="24"/>
      <w:szCs w:val="24"/>
      <w:lang w:eastAsia="en-GB"/>
    </w:rPr>
  </w:style>
  <w:style w:type="character" w:styleId="Strong">
    <w:name w:val="Strong"/>
    <w:basedOn w:val="DefaultParagraphFont"/>
    <w:uiPriority w:val="22"/>
    <w:qFormat/>
    <w:rsid w:val="00337D18"/>
    <w:rPr>
      <w:b/>
      <w:bCs/>
    </w:rPr>
  </w:style>
  <w:style w:type="character" w:styleId="FollowedHyperlink">
    <w:name w:val="FollowedHyperlink"/>
    <w:basedOn w:val="DefaultParagraphFont"/>
    <w:uiPriority w:val="99"/>
    <w:semiHidden/>
    <w:unhideWhenUsed/>
    <w:rsid w:val="00E9295C"/>
    <w:rPr>
      <w:color w:val="954F72" w:themeColor="followedHyperlink"/>
      <w:u w:val="single"/>
    </w:rPr>
  </w:style>
  <w:style w:type="paragraph" w:customStyle="1" w:styleId="xmsonormal">
    <w:name w:val="x_msonormal"/>
    <w:basedOn w:val="Normal"/>
    <w:rsid w:val="005B571D"/>
    <w:pPr>
      <w:spacing w:after="0"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787219">
      <w:bodyDiv w:val="1"/>
      <w:marLeft w:val="0"/>
      <w:marRight w:val="0"/>
      <w:marTop w:val="0"/>
      <w:marBottom w:val="0"/>
      <w:divBdr>
        <w:top w:val="none" w:sz="0" w:space="0" w:color="auto"/>
        <w:left w:val="none" w:sz="0" w:space="0" w:color="auto"/>
        <w:bottom w:val="none" w:sz="0" w:space="0" w:color="auto"/>
        <w:right w:val="none" w:sz="0" w:space="0" w:color="auto"/>
      </w:divBdr>
    </w:div>
    <w:div w:id="345522746">
      <w:bodyDiv w:val="1"/>
      <w:marLeft w:val="0"/>
      <w:marRight w:val="0"/>
      <w:marTop w:val="0"/>
      <w:marBottom w:val="0"/>
      <w:divBdr>
        <w:top w:val="none" w:sz="0" w:space="0" w:color="auto"/>
        <w:left w:val="none" w:sz="0" w:space="0" w:color="auto"/>
        <w:bottom w:val="none" w:sz="0" w:space="0" w:color="auto"/>
        <w:right w:val="none" w:sz="0" w:space="0" w:color="auto"/>
      </w:divBdr>
    </w:div>
    <w:div w:id="568151410">
      <w:bodyDiv w:val="1"/>
      <w:marLeft w:val="0"/>
      <w:marRight w:val="0"/>
      <w:marTop w:val="0"/>
      <w:marBottom w:val="0"/>
      <w:divBdr>
        <w:top w:val="none" w:sz="0" w:space="0" w:color="auto"/>
        <w:left w:val="none" w:sz="0" w:space="0" w:color="auto"/>
        <w:bottom w:val="none" w:sz="0" w:space="0" w:color="auto"/>
        <w:right w:val="none" w:sz="0" w:space="0" w:color="auto"/>
      </w:divBdr>
    </w:div>
    <w:div w:id="1378046941">
      <w:bodyDiv w:val="1"/>
      <w:marLeft w:val="0"/>
      <w:marRight w:val="0"/>
      <w:marTop w:val="0"/>
      <w:marBottom w:val="0"/>
      <w:divBdr>
        <w:top w:val="none" w:sz="0" w:space="0" w:color="auto"/>
        <w:left w:val="none" w:sz="0" w:space="0" w:color="auto"/>
        <w:bottom w:val="none" w:sz="0" w:space="0" w:color="auto"/>
        <w:right w:val="none" w:sz="0" w:space="0" w:color="auto"/>
      </w:divBdr>
    </w:div>
    <w:div w:id="1590196155">
      <w:bodyDiv w:val="1"/>
      <w:marLeft w:val="0"/>
      <w:marRight w:val="0"/>
      <w:marTop w:val="0"/>
      <w:marBottom w:val="0"/>
      <w:divBdr>
        <w:top w:val="none" w:sz="0" w:space="0" w:color="auto"/>
        <w:left w:val="none" w:sz="0" w:space="0" w:color="auto"/>
        <w:bottom w:val="none" w:sz="0" w:space="0" w:color="auto"/>
        <w:right w:val="none" w:sz="0" w:space="0" w:color="auto"/>
      </w:divBdr>
    </w:div>
    <w:div w:id="1636791292">
      <w:bodyDiv w:val="1"/>
      <w:marLeft w:val="0"/>
      <w:marRight w:val="0"/>
      <w:marTop w:val="0"/>
      <w:marBottom w:val="0"/>
      <w:divBdr>
        <w:top w:val="none" w:sz="0" w:space="0" w:color="auto"/>
        <w:left w:val="none" w:sz="0" w:space="0" w:color="auto"/>
        <w:bottom w:val="none" w:sz="0" w:space="0" w:color="auto"/>
        <w:right w:val="none" w:sz="0" w:space="0" w:color="auto"/>
      </w:divBdr>
    </w:div>
    <w:div w:id="1882941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about:blan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about:blank" TargetMode="External"/><Relationship Id="rId11" Type="http://schemas.openxmlformats.org/officeDocument/2006/relationships/hyperlink" Target="about:blank" TargetMode="External"/><Relationship Id="rId5" Type="http://schemas.openxmlformats.org/officeDocument/2006/relationships/hyperlink" Target="about:blank" TargetMode="External"/><Relationship Id="rId10" Type="http://schemas.openxmlformats.org/officeDocument/2006/relationships/hyperlink" Target="about:blank" TargetMode="External"/><Relationship Id="rId4" Type="http://schemas.openxmlformats.org/officeDocument/2006/relationships/hyperlink" Target="about:blank" TargetMode="External"/><Relationship Id="rId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354</Words>
  <Characters>2018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2368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Carolyn Gelenter</dc:creator>
  <cp:lastModifiedBy>Barn Owls</cp:lastModifiedBy>
  <cp:revision>3</cp:revision>
  <dcterms:created xsi:type="dcterms:W3CDTF">2020-04-02T08:33:00Z</dcterms:created>
  <dcterms:modified xsi:type="dcterms:W3CDTF">2020-04-22T12:19:00Z</dcterms:modified>
</cp:coreProperties>
</file>